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Lines="0" w:after="0" w:afterLines="0" w:line="36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Toc109030017"/>
      <w:bookmarkStart w:id="1" w:name="_Toc135911442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2024年度增补仪器设备检定/校准</w:t>
      </w:r>
    </w:p>
    <w:p>
      <w:pPr>
        <w:pStyle w:val="3"/>
        <w:spacing w:before="0" w:beforeLines="0" w:after="0" w:afterLines="0" w:line="360" w:lineRule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服务项目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明细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2" w:name="_Toc135911443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一、项目背景</w:t>
      </w:r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海口市疾病预防控制中心（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以下简称为中心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新购置一批公共卫生监测设备，以及学校卫生、职业卫生因监测项目要求，需对开展监测工作的设备进行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校准。为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服务项目质量及中心监测项目顺利完成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在前一批对外公开服务项目基础上，补充增加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向社会招募有检定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校准资质的单位，接受甲方委托进行有偿的专项技术服务。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bookmarkStart w:id="3" w:name="_Toc135911444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二、服务内容及标准（技术要求）</w:t>
      </w:r>
      <w:bookmarkEnd w:id="3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成交供应商（乙方）在与甲方签订合同后，须按期派遣专业且有资质的检定员在甲方协助配合下，共同完成仪器设备检定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校准工作。成交供应商（乙方）负责“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附表1: 2024年海口市疾病预防控制中心增补仪器设备检定/校准清单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”中所有仪器设备的检定和校准，并按规定出具相应的检定/校准证书。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（二）服务标准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1、按“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附表1: 2024年海口市疾病预防控制中心增补仪器设备检定/校准清单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所有仪器设备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检定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校准，并按规定出具相应的检定/校准证书。除了特殊情况，国家确无校准标准的，所有校准证书均需要有CNAS认可标识，没有认可标识的需要出具说明；外包的所有仪器要备注相应出具证书的单位及认可能力附表（有无认可标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要标明）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附表1: 2024年海口市疾病预防控制中心增补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仪器设备检定/校准清单”中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检定/校准点（参数）”未做要求的（即空白），以国家计量检定规程或校准规范执行；无国家计量检定规程或校准规范的，按双方商定的相关标准执行。如检定/校准清单中仪器设备有检定/校准点（参数）要求的，所有的检定/校准点（参数）均须检定/校准，备注了检定和校准两种证书都需要的仪器设备，所有检定/校准点（参数）需要出具两种证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3、本项目检定/校准种类较多，成交供应商（乙方）应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结合仪器设备种类，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派遣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领域的专业人员负责检定/校准工作，成交供应商可以根据采购人的要求进行分包。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4、针对不在投标人校准能力范围内的仪器设备，在报检后5个工作日内完成代送检任务,且送检相关费用由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5、出具的检定/校准证书文件要求：提供检测机构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正版纸质和电子版证书。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6、提供的校准/检定结果应符合国家标准，不确定度/准确度等级/最大允许误差应符合国家相关规定。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7、本项目实施所需所有设备及耗材均由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供应商（乙方）自行承担，采购人（甲方）不再另行支付费用。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8、如仪器设备在成交供应商（乙方）检定/校准或运送过程中损坏的，成交供应商需赔偿或负责索赔。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bookmarkStart w:id="4" w:name="_Toc135911445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三、商务要求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（一）服务地点：甲方的实验室、受检仪器设备现场、成交供应商检定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/校准场地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服务周期：合同生效之日起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一年内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服务进度：按甲方要求分批完成仪器设备检定/校准任务，具体以每次项目任务清单为准，并按甲方与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（乙方）约定的时间进行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检测完毕后15个工作日内出具证书。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质保期：1年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采购资金的支付方式、时间、条件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/校准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方开具的发票后的十五个工作日内通过转账方式缴纳检测费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并将检测费用支付到甲方以下指定的银行账户。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（2）支付合同款前，成交供应商（乙方）需向采购人（甲方）出具合同价5%的质保函（有效期不得早于质保期）。质保期满后,若无质量问题,甲方将质保函退回乙方。如出现质量问题，乙方需按照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要求及时解决，由此发生的费用由乙方承担。若乙方不能按时解决，甲方有权委托其他单位处理质量问题，并向保函开具方索赔。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、验收标准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采购文件、响应文件、国家有关的质量标准、检定规程规定和行业验收规范要求以及合同中约定的相关验收条款，检定/校准证书的准确无误，均为验收标准。如有矛盾，以其中最高要求为准。</w:t>
      </w:r>
    </w:p>
    <w:tbl>
      <w:tblPr>
        <w:tblStyle w:val="7"/>
        <w:tblW w:w="166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90"/>
        <w:gridCol w:w="1984"/>
        <w:gridCol w:w="2422"/>
        <w:gridCol w:w="1789"/>
        <w:gridCol w:w="2145"/>
        <w:gridCol w:w="1252"/>
        <w:gridCol w:w="3077"/>
        <w:gridCol w:w="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附表1: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0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highlight w:val="none"/>
                <w:lang w:eastAsia="zh-CN"/>
              </w:rPr>
              <w:t>年海口市疾病预防控制中心增补仪器设备检定/校准清单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海尔大王子系列家用电冰箱(下拨）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BCD-219SKDC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HKCDC－P－6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4FHIV初筛实验室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性能验证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T淋巴细胞计数仪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Pima PPr-009207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PIMA-D-010089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HKCDC－P－11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4FHIV初筛实验室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CD4T+、CD8+T细胞计数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海尔双门冰箱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BCD-649WDBB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HKCDC－P－13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4FHIV初筛实验室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性能验证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2020113261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HKCDC－P－24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4FHIV初筛实验室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超纯水机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Merck/Direct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F1NB65226D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HKCDC－P－25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4FHIV初筛实验室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检外观、控温功能、产水电阻率、日产水量检测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32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T淋巴细胞计数仪(便携式CD4检测设备)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Pima Analyser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PIMA-D-010830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HKCDC-P-28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4FHIV初筛实验室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CD4T+、CD8+T细胞计数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Finnpipette F2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TP11537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HKCDC/P-YY-17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200ul、500ul、800ul、 1000ul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2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Finnpipette F2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T029782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HKCDC/P-YY-18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20ul、100ul、200ul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6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Finnpipette F2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T029789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HKCDC/P-YY-19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20ul、100ul、200ul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Finnpipette F2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T014192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HKCDC/P-YY-20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1ml、 2ml、3ml、4ml、5ml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八道可调移液器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Finnpipette F2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TH20515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HKCDC/P-YY-21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80ul、100ul、150ul、200ul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八道可调移液器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Finnpipette F2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TH20518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HKCDC/P-YY-22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4FHIV实验室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80ul、100ul、150ul、200ul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14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UV2000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HH12011111006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HKCDC-N-24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8楼实验室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外观，波长示值误差，波长重复性，透射比示值误差及重复性，杂散光，噪音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恒温金属浴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CHB-202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BYQ6.0.06-1301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HKCDC-N-77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8楼实验室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温度示值误差，温度均匀度和波动度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SW-CJ-1FD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72005137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HKCDC-N-35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8楼实验室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外观，风速，噪音，照度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数码显微镜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Shuttle Pix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370183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HKCDC-N-3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8楼实验室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分辨力：目镜10x，物镜0.6x、1x、2x、4x、5x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a/β表面污染仪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RJ39-2180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181004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1、表面发射率响应（α核素</w:t>
            </w:r>
            <w:r>
              <w:rPr>
                <w:rStyle w:val="15"/>
                <w:sz w:val="20"/>
                <w:szCs w:val="20"/>
                <w:lang w:val="en-US" w:eastAsia="zh-CN" w:bidi="ar"/>
              </w:rPr>
              <w:t>241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Am、β核素</w:t>
            </w:r>
            <w:r>
              <w:rPr>
                <w:rStyle w:val="15"/>
                <w:sz w:val="20"/>
                <w:szCs w:val="20"/>
                <w:lang w:val="en-US" w:eastAsia="zh-CN" w:bidi="ar"/>
              </w:rPr>
              <w:t>36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CI）；2、相对固有误差；3、重复性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辐射巡测仪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RJ38-3602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181107C001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X射线计量当量校准因子C</w:t>
            </w:r>
            <w:r>
              <w:rPr>
                <w:rStyle w:val="17"/>
                <w:sz w:val="20"/>
                <w:szCs w:val="20"/>
                <w:lang w:val="en-US" w:eastAsia="zh-CN" w:bidi="ar"/>
              </w:rPr>
              <w:t>F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(辐射质N：60/80/100/120/150）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X/γ辐射个人剂量当量（率）检测仪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DP802i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1809025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相对固有误差、统计涨落、报警阀值偏差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X/γ辐射个人剂量当量（率）检测仪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DP802i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1809039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相对固有误差、统计涨落、报警阀值偏差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X/γ辐射个人剂量当量（率）检测仪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DP802i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1809040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相对固有误差、统计涨落、报警阀值偏差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X/γ辐射个人剂量当量（率）检测仪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DP802i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1809041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相对固有误差、统计涨落、报警阀值偏差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1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多功能X射线剂量仪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RaySafe X2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271414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1、空气比释动能校准因子；2、管电压；3、曝光时间；4、空气比释动能长度乘积校准因子；5、照度值修正因子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X/γ射线检测仪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AT1123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55642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HKCDC-S-19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X射线计量当量校准因子C</w:t>
            </w:r>
            <w:r>
              <w:rPr>
                <w:rStyle w:val="1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F</w:t>
            </w:r>
            <w:r>
              <w:rPr>
                <w:rStyle w:val="1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(辐射质N：60/80/100/120/150）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黑白透射式密度计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HM-600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HA190122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外观、密度值、均匀性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数显倾角仪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VICTOR 5006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96928422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垂直度、平行度、零值误差和一致性、示值误差、重复性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6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中子剂量率仪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SCB202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20190204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1、中子周围剂量当量率测量结果相对固有误差；2、中子周围剂量当量率响应因子；3、中子周围剂量当量率校准因子；4、中子周围剂量当量率校准因子不确定度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空气采样器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RAIS-1001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HS2011021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采样流量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环境氡测量仪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RTM1688-2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RTM6-00438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1、重复性；2、体积活度响应；3、体积活度响应年偏离量；4、相对固有误差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X/γ剂量率仪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AT1123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X射线计量当量校准因子C</w:t>
            </w:r>
            <w:r>
              <w:rPr>
                <w:rStyle w:val="1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F</w:t>
            </w:r>
            <w:r>
              <w:rPr>
                <w:rStyle w:val="1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(辐射质N：60/80/100/120/150）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2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环境监测X/γ辐射空气吸收剂量率仪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6150AD/H6150b/H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168010/176373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一、检定：1.校准因子；2.校准因子的相对扩展不确定度；3.重复性。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二、校准：1.6150AD-b/H（探头）：相对误差；2.6150AD5/H：X射线剂量当量校准因子C</w:t>
            </w:r>
            <w:r>
              <w:rPr>
                <w:rStyle w:val="1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F</w:t>
            </w:r>
            <w:r>
              <w:rPr>
                <w:rStyle w:val="1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(辐射质N：60/80/100/120/150）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电子防潮柜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YJ-1440CF-6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XC14400F22082602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HKCDC-S-28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办公楼3楼302仪器室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温度湿度偏差、均匀度、波动度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电子体重称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TCS-200-RT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202403001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HKCDC-J-28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测量体重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电子体重称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TCS-200-RT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202403001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HKCDC-J-29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测量体重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机械式身高计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202310125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HKCDC-J-32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机械式身高计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202310125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HKCDC-J-33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LV57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202311291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HKCDC-J-34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测量距离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1205063685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HKCDC-J-01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1205061369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HKCDC-J-02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1205061376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HKCDC-J-03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1205061394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HKCDC-J-04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1205064127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HKCDC-J-05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12446200605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HKCDC-J-17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12446200587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HKCDC-J-26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12446203339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HKCDC-J-27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12548103228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HKCDC-J-30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脊柱侧弯水平度测量尺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美国BASELINE12-1099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12548103237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HKCDC-J-31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10楼1005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按量具类校准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CX22RFS1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2J84531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HKCDC-k-05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4楼实验室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朱庆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放大倍数4x、10x、40x、100x，是否可加清洁服务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TSI 7545型室内空气品质检测仪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TSI 7545型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T75452346004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HKCDC-I-77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公共卫生科1013仓库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CO范围：0～500ppm，CO2范围：0～5000ppm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DYM3型空盒气压表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DYM3型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47230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HKCDC-I-78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公共卫生科1013仓库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气压范围：800～1060hpa，温度范围：-10～40℃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DYM3型空盒气压表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DYM3型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47231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HKCDC-I-79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公共卫生科1013仓库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气压范围：800～1060hpa，温度范围：-10～40℃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酶标分析仪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ST-360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HKCDC－H－322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3F血清学实验室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郑丝蒙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吸光度405nm、450nm、620nm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高速冷冻离心机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 MultifugeX3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42288787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HKCDC－H－329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8F自然疫源性疾病实验室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朱斐莉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3000r/min、6000r/min、9000r/min、12000r/min，测4℃温度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FM-3800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18122804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HKCDC－H－355-1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2F公共场所病原菌实验室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转速：1000/3000/5000/10000/13000（r/min）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密理博超纯水机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Milli-QIQ7003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FIEB13407Q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HKCDC－H－554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二楼水质组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王琼妹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检外观、控温功能、产水电阻率、日产水量检测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密理博超纯水机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Milli-QIQ7003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MA1E62660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HKCDC－H－555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三楼病毒培养实验室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冯桃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检外观、控温功能、产水电阻率、日产水量检测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BLST脉动真空灭菌器（高压锅）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BLST-P3-D350-D-B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217037039201900711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HKCDC－H－391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8F自然疫源性疾病实验室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许鹏科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测115℃、121℃温度点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干式恒温仪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DH100-4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RC-05W-0088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HKCDC－H－375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4F分子生物学实验室（一区产物间）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测100℃温度点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仪器编号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干式恒温仪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DH100-4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RC-05W-0087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HKCDC－H－376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4F分子生物学实验室（一区产物间）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测100℃温度点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ABI实时荧光定量PCR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QuantStudio Dx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287880820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HKCDC－H－395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3F分子生物学实验室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测温度和荧光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荧光定量PCR仪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Bio-CFx96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785BR26046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HKCDC－H－453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3FPCR产物分析间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测温度和荧光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 Fast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4357162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HKCDC－H－249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2F食源性病原菌实验室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测温度和荧光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Cobas z 480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53787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HKCDC－H－354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3F基因测序室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测温度和荧光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2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薄层色谱系统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TCL Scanner4+ TCLVisualizer+ Linomat5 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221278+230337+230213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HKCDC-G-191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六楼放射性物质检测光谱室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粉尘粒度分析仪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MD-1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HKCDC-G-254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六楼放射性物质检测光谱室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叶专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粉尘真密度测定装置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FC-1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HKCDC-G-254-1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六楼放射性物质检测光谱室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叶专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旋光仪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MCP200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81634088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HKCDC-G-161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七楼小型仪器室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折光仪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Abbemat 350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80850007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HKCDC-G-79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七楼小型仪器室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生物显微镜（体视显微镜）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NSZ-606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HKCDC-k-13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911办公室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朱庆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417" w:right="1701" w:bottom="1417" w:left="1701" w:header="851" w:footer="992" w:gutter="0"/>
      <w:cols w:space="0" w:num="1"/>
      <w:rtlGutter w:val="0"/>
      <w:docGrid w:type="lines" w:linePitch="4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-</w:t>
    </w:r>
    <w:r>
      <w:rPr>
        <w:lang w:val="en-US"/>
      </w:rPr>
      <w:t xml:space="preserve"> 3 -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gutterAtTop/>
  <w:documentProtection w:enforcement="0"/>
  <w:defaultTabStop w:val="420"/>
  <w:drawingGridVerticalSpacing w:val="23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2745"/>
    <w:rsid w:val="03A63DB9"/>
    <w:rsid w:val="085D3FC8"/>
    <w:rsid w:val="0A344DCC"/>
    <w:rsid w:val="0E992039"/>
    <w:rsid w:val="0FB16691"/>
    <w:rsid w:val="118B6A36"/>
    <w:rsid w:val="12522855"/>
    <w:rsid w:val="15D56DB6"/>
    <w:rsid w:val="1B7A10DE"/>
    <w:rsid w:val="1C7F7721"/>
    <w:rsid w:val="22D64313"/>
    <w:rsid w:val="22DD6DE0"/>
    <w:rsid w:val="285E788C"/>
    <w:rsid w:val="298F36E2"/>
    <w:rsid w:val="29E9554B"/>
    <w:rsid w:val="32495DCF"/>
    <w:rsid w:val="38C22BC2"/>
    <w:rsid w:val="394D570A"/>
    <w:rsid w:val="3A430249"/>
    <w:rsid w:val="3F1F025F"/>
    <w:rsid w:val="439006C3"/>
    <w:rsid w:val="48CA7A15"/>
    <w:rsid w:val="5B465B0B"/>
    <w:rsid w:val="68E1395E"/>
    <w:rsid w:val="72D33A9C"/>
    <w:rsid w:val="739504AD"/>
    <w:rsid w:val="75B747E4"/>
    <w:rsid w:val="7C6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beforeLines="0" w:after="120" w:afterLines="0" w:line="300" w:lineRule="auto"/>
      <w:jc w:val="center"/>
      <w:outlineLvl w:val="0"/>
    </w:pPr>
    <w:rPr>
      <w:b/>
      <w:kern w:val="44"/>
      <w:sz w:val="20"/>
      <w:lang w:val="zh-CN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  <w:lang w:val="zh-CN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260" w:beforeLines="0" w:after="260" w:afterLines="0" w:line="413" w:lineRule="auto"/>
      <w:jc w:val="left"/>
      <w:outlineLvl w:val="2"/>
    </w:pPr>
    <w:rPr>
      <w:rFonts w:ascii="Times New Roman"/>
      <w:b/>
      <w:sz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sz w:val="18"/>
      <w:lang w:val="zh-CN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lang w:val="zh-CN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1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2">
    <w:name w:val="font122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4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2024-04-08T03:36:00Z</dcterms:created>
  <dc:creator>wang</dc:creator>
  <cp:lastModifiedBy>陈小佳</cp:lastModifiedBy>
  <dcterms:modified xsi:type="dcterms:W3CDTF">2024-06-14T03:49:38Z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FBB485F9CDF947FCB8F3E26EAB5D6052</vt:lpwstr>
  </property>
</Properties>
</file>